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61D6B64D" w:rsidR="00B736C9" w:rsidRPr="00F601DB" w:rsidRDefault="00C67745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_GoBack"/>
      <w:bookmarkEnd w:id="0"/>
      <w:r w:rsidRPr="00C67745">
        <w:rPr>
          <w:b/>
          <w:noProof/>
          <w:sz w:val="24"/>
        </w:rPr>
        <w:t>3GPP TSG RAN Meeting #8</w:t>
      </w:r>
      <w:r w:rsidR="005E36FF">
        <w:rPr>
          <w:b/>
          <w:noProof/>
          <w:sz w:val="24"/>
        </w:rPr>
        <w:t>6</w:t>
      </w:r>
      <w:r w:rsidR="00B736C9" w:rsidRPr="00285EB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C673E7" w:rsidRPr="00C673E7">
        <w:rPr>
          <w:b/>
          <w:noProof/>
          <w:sz w:val="24"/>
        </w:rPr>
        <w:t>RP-192795</w:t>
      </w:r>
    </w:p>
    <w:p w14:paraId="23C9EF4C" w14:textId="69ADC1FC" w:rsidR="00294347" w:rsidRPr="00294347" w:rsidRDefault="005E36FF" w:rsidP="00C67745">
      <w:pPr>
        <w:pStyle w:val="Header"/>
        <w:rPr>
          <w:b w:val="0"/>
          <w:sz w:val="24"/>
        </w:rPr>
      </w:pPr>
      <w:r>
        <w:rPr>
          <w:rFonts w:eastAsia="MS Mincho"/>
          <w:bCs w:val="0"/>
          <w:sz w:val="24"/>
          <w:szCs w:val="20"/>
          <w:lang w:val="en-GB"/>
        </w:rPr>
        <w:t>S</w:t>
      </w:r>
      <w:r w:rsidR="00D669C9">
        <w:rPr>
          <w:rFonts w:eastAsia="MS Mincho"/>
          <w:bCs w:val="0"/>
          <w:sz w:val="24"/>
          <w:szCs w:val="20"/>
          <w:lang w:val="en-GB"/>
        </w:rPr>
        <w:t>it</w:t>
      </w:r>
      <w:r>
        <w:rPr>
          <w:rFonts w:eastAsia="MS Mincho"/>
          <w:bCs w:val="0"/>
          <w:sz w:val="24"/>
          <w:szCs w:val="20"/>
          <w:lang w:val="en-GB"/>
        </w:rPr>
        <w:t>ges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 xml:space="preserve">, </w:t>
      </w:r>
      <w:r>
        <w:rPr>
          <w:rFonts w:eastAsia="MS Mincho"/>
          <w:bCs w:val="0"/>
          <w:sz w:val="24"/>
          <w:szCs w:val="20"/>
          <w:lang w:val="en-GB"/>
        </w:rPr>
        <w:t>Spain, 9</w:t>
      </w:r>
      <w:r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>
        <w:rPr>
          <w:rFonts w:eastAsia="MS Mincho"/>
          <w:bCs w:val="0"/>
          <w:sz w:val="24"/>
          <w:szCs w:val="20"/>
          <w:lang w:val="en-GB"/>
        </w:rPr>
        <w:t xml:space="preserve"> – 12</w:t>
      </w:r>
      <w:r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>
        <w:rPr>
          <w:rFonts w:eastAsia="MS Mincho"/>
          <w:bCs w:val="0"/>
          <w:sz w:val="24"/>
          <w:szCs w:val="20"/>
          <w:lang w:val="en-GB"/>
        </w:rPr>
        <w:t xml:space="preserve"> December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>, 2019</w:t>
      </w:r>
      <w:r w:rsidR="00FA5F6E">
        <w:rPr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7ED40797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0413F6">
        <w:rPr>
          <w:rFonts w:eastAsia="MS Mincho"/>
          <w:b/>
          <w:noProof/>
          <w:sz w:val="24"/>
          <w:lang w:val="en-US" w:eastAsia="en-US"/>
        </w:rPr>
        <w:t xml:space="preserve">9.1.2 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132B13">
        <w:rPr>
          <w:rFonts w:hint="eastAsia"/>
          <w:b/>
          <w:noProof/>
          <w:sz w:val="24"/>
          <w:lang w:val="en-US"/>
        </w:rPr>
        <w:t>Huawei</w:t>
      </w:r>
      <w:r w:rsidR="00D25DE6" w:rsidRPr="00132B13">
        <w:rPr>
          <w:rFonts w:hint="eastAsia"/>
          <w:b/>
          <w:noProof/>
          <w:sz w:val="24"/>
          <w:lang w:val="en-US"/>
        </w:rPr>
        <w:t>, HiSilicon</w:t>
      </w:r>
    </w:p>
    <w:p w14:paraId="7343FADB" w14:textId="093558D0" w:rsidR="00B1130D" w:rsidRPr="00B01B29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B01B29" w:rsidRPr="00B01B29">
        <w:rPr>
          <w:rFonts w:eastAsia="MS Mincho"/>
          <w:b/>
          <w:noProof/>
          <w:sz w:val="24"/>
          <w:lang w:val="en-US" w:eastAsia="en-US"/>
        </w:rPr>
        <w:t>Key points on IAB enhancements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840070">
        <w:rPr>
          <w:lang w:val="en-US"/>
        </w:rPr>
        <w:t>Introduction</w:t>
      </w:r>
    </w:p>
    <w:p w14:paraId="02485390" w14:textId="32E0AC6B" w:rsidR="00137520" w:rsidRDefault="00B72AC0" w:rsidP="00DC61DC">
      <w:pPr>
        <w:rPr>
          <w:lang w:val="en-US"/>
        </w:rPr>
      </w:pPr>
      <w:r>
        <w:rPr>
          <w:lang w:val="en-US" w:eastAsia="en-US"/>
        </w:rPr>
        <w:t xml:space="preserve">The basic </w:t>
      </w:r>
      <w:r w:rsidR="00472B35">
        <w:rPr>
          <w:lang w:val="en-US" w:eastAsia="en-US"/>
        </w:rPr>
        <w:t xml:space="preserve">IAB </w:t>
      </w:r>
      <w:r>
        <w:rPr>
          <w:lang w:val="en-US" w:eastAsia="en-US"/>
        </w:rPr>
        <w:t xml:space="preserve">functionality has been standardized in </w:t>
      </w:r>
      <w:r w:rsidR="00866799">
        <w:rPr>
          <w:lang w:val="en-US" w:eastAsia="en-US"/>
        </w:rPr>
        <w:t xml:space="preserve">NR </w:t>
      </w:r>
      <w:r>
        <w:rPr>
          <w:lang w:val="en-US" w:eastAsia="en-US"/>
        </w:rPr>
        <w:t xml:space="preserve">Rel-16. </w:t>
      </w:r>
      <w:r w:rsidR="00866799">
        <w:rPr>
          <w:lang w:val="en-US" w:eastAsia="en-US"/>
        </w:rPr>
        <w:t>The</w:t>
      </w:r>
      <w:r>
        <w:rPr>
          <w:lang w:val="en-US" w:eastAsia="en-US"/>
        </w:rPr>
        <w:t xml:space="preserve"> potential enhancements </w:t>
      </w:r>
      <w:r w:rsidR="00F12D15">
        <w:rPr>
          <w:lang w:val="en-US" w:eastAsia="en-US"/>
        </w:rPr>
        <w:t xml:space="preserve">targeting further end-to-end performance </w:t>
      </w:r>
      <w:r w:rsidR="00B061E7">
        <w:rPr>
          <w:lang w:val="en-US" w:eastAsia="en-US"/>
        </w:rPr>
        <w:t xml:space="preserve">improvement </w:t>
      </w:r>
      <w:r>
        <w:rPr>
          <w:lang w:val="en-US" w:eastAsia="en-US"/>
        </w:rPr>
        <w:t>have been discussed</w:t>
      </w:r>
      <w:r w:rsidR="00B061E7">
        <w:rPr>
          <w:lang w:val="en-US" w:eastAsia="en-US"/>
        </w:rPr>
        <w:t xml:space="preserve"> after RAN#85</w:t>
      </w:r>
      <w:r>
        <w:rPr>
          <w:lang w:val="en-US" w:eastAsia="en-US"/>
        </w:rPr>
        <w:t xml:space="preserve">. </w:t>
      </w:r>
      <w:r w:rsidR="006E38FF">
        <w:rPr>
          <w:lang w:val="en-US" w:eastAsia="en-US"/>
        </w:rPr>
        <w:t xml:space="preserve">In this contribution, </w:t>
      </w:r>
      <w:r w:rsidR="00093E4C">
        <w:rPr>
          <w:lang w:val="en-US" w:eastAsia="en-US"/>
        </w:rPr>
        <w:t>we provide our</w:t>
      </w:r>
      <w:r w:rsidR="006E38FF">
        <w:rPr>
          <w:lang w:val="en-US" w:eastAsia="en-US"/>
        </w:rPr>
        <w:t xml:space="preserve"> views on</w:t>
      </w:r>
      <w:r w:rsidR="00093E4C">
        <w:rPr>
          <w:lang w:val="en-US" w:eastAsia="en-US"/>
        </w:rPr>
        <w:t xml:space="preserve"> </w:t>
      </w:r>
      <w:r w:rsidR="00F12D15">
        <w:rPr>
          <w:lang w:val="en-US" w:eastAsia="en-US"/>
        </w:rPr>
        <w:t xml:space="preserve">the </w:t>
      </w:r>
      <w:r>
        <w:rPr>
          <w:lang w:val="en-US" w:eastAsia="en-US"/>
        </w:rPr>
        <w:t xml:space="preserve">key points for </w:t>
      </w:r>
      <w:r w:rsidR="00093E4C">
        <w:rPr>
          <w:lang w:val="en-US" w:eastAsia="en-US"/>
        </w:rPr>
        <w:t>IAB enhancements</w:t>
      </w:r>
      <w:r w:rsidR="008F3A75">
        <w:rPr>
          <w:lang w:val="en-US" w:eastAsia="en-US"/>
        </w:rPr>
        <w:t>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75455F9E" w14:textId="391B083A" w:rsidR="00647839" w:rsidRPr="00647839" w:rsidRDefault="00647839" w:rsidP="00647839">
      <w:pPr>
        <w:rPr>
          <w:lang w:val="en-US"/>
        </w:rPr>
      </w:pPr>
      <w:r>
        <w:rPr>
          <w:lang w:val="en-US"/>
        </w:rPr>
        <w:t>In general, the potential IAB enhancements in Rel-17 should prioritize the most simple and effective solutions</w:t>
      </w:r>
      <w:r w:rsidR="00B16841">
        <w:rPr>
          <w:lang w:val="en-US"/>
        </w:rPr>
        <w:t xml:space="preserve"> on the table</w:t>
      </w:r>
      <w:r>
        <w:rPr>
          <w:lang w:val="en-US"/>
        </w:rPr>
        <w:t xml:space="preserve">, preferably </w:t>
      </w:r>
      <w:r w:rsidR="00A860BF">
        <w:rPr>
          <w:lang w:val="en-US"/>
        </w:rPr>
        <w:t xml:space="preserve">those </w:t>
      </w:r>
      <w:r>
        <w:rPr>
          <w:lang w:val="en-US"/>
        </w:rPr>
        <w:t>that have been discussed and studied during the SI phase</w:t>
      </w:r>
      <w:r w:rsidR="00A1115D">
        <w:rPr>
          <w:lang w:val="en-US"/>
        </w:rPr>
        <w:t xml:space="preserve"> and/or the </w:t>
      </w:r>
      <w:r w:rsidR="00A860BF">
        <w:rPr>
          <w:lang w:val="en-US"/>
        </w:rPr>
        <w:t>one</w:t>
      </w:r>
      <w:r w:rsidR="00A1115D">
        <w:rPr>
          <w:lang w:val="en-US"/>
        </w:rPr>
        <w:t xml:space="preserve">s </w:t>
      </w:r>
      <w:r w:rsidR="00CD1418">
        <w:rPr>
          <w:lang w:val="en-US"/>
        </w:rPr>
        <w:t>which</w:t>
      </w:r>
      <w:r w:rsidR="00A1115D">
        <w:rPr>
          <w:lang w:val="en-US"/>
        </w:rPr>
        <w:t xml:space="preserve"> have been discussed in Rel-16 but not specified due to time constraint</w:t>
      </w:r>
      <w:r>
        <w:rPr>
          <w:lang w:val="en-US"/>
        </w:rPr>
        <w:t>.</w:t>
      </w:r>
      <w:r w:rsidR="00A1115D">
        <w:rPr>
          <w:lang w:val="en-US"/>
        </w:rPr>
        <w:t xml:space="preserve"> </w:t>
      </w:r>
      <w:r w:rsidR="00866799">
        <w:rPr>
          <w:lang w:val="en-US"/>
        </w:rPr>
        <w:t xml:space="preserve">The specification effort should be also be taken into account when discussing the scope of a potential WI. </w:t>
      </w:r>
      <w:r w:rsidR="00A1115D">
        <w:rPr>
          <w:lang w:val="en-US"/>
        </w:rPr>
        <w:t xml:space="preserve">In the following, we provide our views on </w:t>
      </w:r>
      <w:r w:rsidR="00866799">
        <w:rPr>
          <w:lang w:val="en-US"/>
        </w:rPr>
        <w:t xml:space="preserve">support of </w:t>
      </w:r>
      <w:r w:rsidR="00A1115D">
        <w:rPr>
          <w:lang w:val="en-US"/>
        </w:rPr>
        <w:t>higher order modulation, duplexing enhancement</w:t>
      </w:r>
      <w:r w:rsidR="00866799">
        <w:rPr>
          <w:lang w:val="en-US"/>
        </w:rPr>
        <w:t>s</w:t>
      </w:r>
      <w:r w:rsidR="00A1115D">
        <w:rPr>
          <w:lang w:val="en-US"/>
        </w:rPr>
        <w:t xml:space="preserve"> and </w:t>
      </w:r>
      <w:r w:rsidR="00491F6C">
        <w:rPr>
          <w:lang w:val="en-US"/>
        </w:rPr>
        <w:t>t</w:t>
      </w:r>
      <w:r w:rsidR="00491F6C" w:rsidRPr="00491F6C">
        <w:rPr>
          <w:lang w:val="en-US"/>
        </w:rPr>
        <w:t>opology adaptation enhancements</w:t>
      </w:r>
      <w:r w:rsidR="00491F6C">
        <w:rPr>
          <w:lang w:val="en-US"/>
        </w:rPr>
        <w:t>.</w:t>
      </w:r>
    </w:p>
    <w:p w14:paraId="4AB7C200" w14:textId="78AAEC3F" w:rsidR="000C18A2" w:rsidRDefault="00093E4C" w:rsidP="00784DCB">
      <w:pPr>
        <w:pStyle w:val="Heading2"/>
        <w:rPr>
          <w:lang w:val="en-US" w:eastAsia="zh-CN"/>
        </w:rPr>
      </w:pPr>
      <w:r>
        <w:rPr>
          <w:lang w:val="en-US" w:eastAsia="zh-CN"/>
        </w:rPr>
        <w:t>Higher order modulation</w:t>
      </w:r>
    </w:p>
    <w:p w14:paraId="2281D3BF" w14:textId="43A2BF13" w:rsidR="00A1115D" w:rsidRPr="00D64EA0" w:rsidRDefault="00647839" w:rsidP="001D072F">
      <w:pPr>
        <w:rPr>
          <w:lang w:val="en-US"/>
        </w:rPr>
      </w:pPr>
      <w:r w:rsidRPr="00647839">
        <w:rPr>
          <w:lang w:val="en-US"/>
        </w:rPr>
        <w:t>High</w:t>
      </w:r>
      <w:r w:rsidR="001940B5">
        <w:rPr>
          <w:lang w:val="en-US"/>
        </w:rPr>
        <w:t>er</w:t>
      </w:r>
      <w:r w:rsidRPr="00647839">
        <w:rPr>
          <w:lang w:val="en-US"/>
        </w:rPr>
        <w:t xml:space="preserve"> order modulation </w:t>
      </w:r>
      <w:r>
        <w:rPr>
          <w:lang w:val="en-US"/>
        </w:rPr>
        <w:t>is one of</w:t>
      </w:r>
      <w:r w:rsidRPr="00647839">
        <w:rPr>
          <w:lang w:val="en-US"/>
        </w:rPr>
        <w:t xml:space="preserve"> the key</w:t>
      </w:r>
      <w:r w:rsidR="00A1115D">
        <w:rPr>
          <w:lang w:val="en-US"/>
        </w:rPr>
        <w:t xml:space="preserve"> and simple</w:t>
      </w:r>
      <w:r w:rsidR="00491F6C">
        <w:rPr>
          <w:lang w:val="en-US"/>
        </w:rPr>
        <w:t>st</w:t>
      </w:r>
      <w:r w:rsidRPr="00647839">
        <w:rPr>
          <w:lang w:val="en-US"/>
        </w:rPr>
        <w:t xml:space="preserve"> enabling technologies </w:t>
      </w:r>
      <w:r w:rsidR="001940B5">
        <w:rPr>
          <w:lang w:val="en-US"/>
        </w:rPr>
        <w:t>to improve</w:t>
      </w:r>
      <w:r w:rsidRPr="00647839">
        <w:rPr>
          <w:lang w:val="en-US"/>
        </w:rPr>
        <w:t xml:space="preserve"> </w:t>
      </w:r>
      <w:r w:rsidR="001940B5">
        <w:rPr>
          <w:lang w:val="en-US"/>
        </w:rPr>
        <w:t xml:space="preserve">the </w:t>
      </w:r>
      <w:r w:rsidRPr="00647839">
        <w:rPr>
          <w:lang w:val="en-US"/>
        </w:rPr>
        <w:t xml:space="preserve">spectrum efficiency. </w:t>
      </w:r>
      <w:r w:rsidR="00D64EA0">
        <w:rPr>
          <w:lang w:val="en-US"/>
        </w:rPr>
        <w:t>For</w:t>
      </w:r>
      <w:r w:rsidRPr="00647839">
        <w:rPr>
          <w:lang w:val="en-US"/>
        </w:rPr>
        <w:t xml:space="preserve"> IAB, a high</w:t>
      </w:r>
      <w:r w:rsidR="002464C3">
        <w:rPr>
          <w:lang w:val="en-US"/>
        </w:rPr>
        <w:t>er</w:t>
      </w:r>
      <w:r w:rsidRPr="00647839">
        <w:rPr>
          <w:lang w:val="en-US"/>
        </w:rPr>
        <w:t xml:space="preserve"> capacity backhaul link is always preferable since the backhaul link capacity tends to be the bottleneck for system perform</w:t>
      </w:r>
      <w:r w:rsidR="00A1115D">
        <w:rPr>
          <w:lang w:val="en-US"/>
        </w:rPr>
        <w:t>ance</w:t>
      </w:r>
      <w:r w:rsidR="001940B5">
        <w:rPr>
          <w:lang w:val="en-US"/>
        </w:rPr>
        <w:t xml:space="preserve"> considering that one </w:t>
      </w:r>
      <w:r w:rsidR="00264BD0">
        <w:rPr>
          <w:lang w:val="en-US"/>
        </w:rPr>
        <w:t xml:space="preserve">IAB </w:t>
      </w:r>
      <w:r w:rsidR="001940B5">
        <w:rPr>
          <w:lang w:val="en-US"/>
        </w:rPr>
        <w:t xml:space="preserve">node has to serve </w:t>
      </w:r>
      <w:r w:rsidR="00264BD0">
        <w:rPr>
          <w:lang w:val="en-US"/>
        </w:rPr>
        <w:t>several</w:t>
      </w:r>
      <w:r w:rsidR="000E7384">
        <w:rPr>
          <w:lang w:val="en-US"/>
        </w:rPr>
        <w:t xml:space="preserve"> </w:t>
      </w:r>
      <w:r w:rsidR="001940B5">
        <w:rPr>
          <w:lang w:val="en-US"/>
        </w:rPr>
        <w:t>access UEs</w:t>
      </w:r>
      <w:r w:rsidR="00A1115D">
        <w:rPr>
          <w:lang w:val="en-US"/>
        </w:rPr>
        <w:t xml:space="preserve">. </w:t>
      </w:r>
      <w:r w:rsidR="00491F6C">
        <w:rPr>
          <w:lang w:val="en-US"/>
        </w:rPr>
        <w:t>H</w:t>
      </w:r>
      <w:r w:rsidR="00D64EA0">
        <w:rPr>
          <w:lang w:val="en-US"/>
        </w:rPr>
        <w:t>igh</w:t>
      </w:r>
      <w:r w:rsidRPr="00647839">
        <w:rPr>
          <w:lang w:val="en-US"/>
        </w:rPr>
        <w:t xml:space="preserve">er order modulation on backhaul link is technically feasible due to the following reasons: </w:t>
      </w:r>
      <w:r w:rsidR="001D072F">
        <w:rPr>
          <w:lang w:val="en-US"/>
        </w:rPr>
        <w:t xml:space="preserve">1) </w:t>
      </w:r>
      <w:r w:rsidRPr="00D64EA0">
        <w:rPr>
          <w:lang w:val="en-US"/>
        </w:rPr>
        <w:t>Good backhaul link quality due to IAB node site planning</w:t>
      </w:r>
      <w:r w:rsidR="00491F6C">
        <w:rPr>
          <w:lang w:val="en-US"/>
        </w:rPr>
        <w:t>;</w:t>
      </w:r>
      <w:r w:rsidRPr="00D64EA0">
        <w:rPr>
          <w:lang w:val="en-US"/>
        </w:rPr>
        <w:t xml:space="preserve"> </w:t>
      </w:r>
      <w:r w:rsidR="001D072F">
        <w:rPr>
          <w:lang w:val="en-US"/>
        </w:rPr>
        <w:t xml:space="preserve">2) </w:t>
      </w:r>
      <w:r w:rsidRPr="00D64EA0">
        <w:rPr>
          <w:lang w:val="en-US"/>
        </w:rPr>
        <w:t>Better RF capability of IAB node compared to UE.</w:t>
      </w:r>
      <w:r w:rsidR="00A1115D" w:rsidRPr="00D64EA0">
        <w:rPr>
          <w:lang w:val="en-US"/>
        </w:rPr>
        <w:t xml:space="preserve"> </w:t>
      </w:r>
    </w:p>
    <w:p w14:paraId="7EA1DD2D" w14:textId="2E7468FE" w:rsidR="00F0522D" w:rsidRDefault="00A1115D" w:rsidP="00A1115D">
      <w:r>
        <w:rPr>
          <w:lang w:val="en-US"/>
        </w:rPr>
        <w:t xml:space="preserve">In </w:t>
      </w:r>
      <w:r w:rsidR="00D64EA0">
        <w:rPr>
          <w:lang w:val="en-US"/>
        </w:rPr>
        <w:t xml:space="preserve">NR </w:t>
      </w:r>
      <w:r>
        <w:rPr>
          <w:lang w:val="en-US"/>
        </w:rPr>
        <w:t>Rel-15, only 64QAM is supported in FR2. In</w:t>
      </w:r>
      <w:r>
        <w:t xml:space="preserve"> Rel-16, </w:t>
      </w:r>
      <w:r w:rsidR="00074961">
        <w:t>a</w:t>
      </w:r>
      <w:r>
        <w:t xml:space="preserve"> </w:t>
      </w:r>
      <w:r w:rsidR="00F2596B">
        <w:t xml:space="preserve">RAN4 </w:t>
      </w:r>
      <w:r>
        <w:t xml:space="preserve">WI </w:t>
      </w:r>
      <w:r w:rsidR="00D64EA0">
        <w:t>is ongoing targeting the support of</w:t>
      </w:r>
      <w:r>
        <w:t xml:space="preserve"> DL 256QAM</w:t>
      </w:r>
      <w:r w:rsidR="00074961">
        <w:t xml:space="preserve"> in FR2</w:t>
      </w:r>
      <w:r w:rsidR="00A06039">
        <w:t>.</w:t>
      </w:r>
      <w:r w:rsidR="00F21F4B">
        <w:t xml:space="preserve"> </w:t>
      </w:r>
      <w:r w:rsidR="00A06039">
        <w:t>However, t</w:t>
      </w:r>
      <w:r w:rsidR="00F2596B">
        <w:t xml:space="preserve">his </w:t>
      </w:r>
      <w:r>
        <w:t xml:space="preserve">WI and </w:t>
      </w:r>
      <w:r w:rsidR="00F2596B">
        <w:t xml:space="preserve">the </w:t>
      </w:r>
      <w:r>
        <w:t>IAB WI are separate WIs and there is few discussion on whether the</w:t>
      </w:r>
      <w:r w:rsidR="00D64EA0">
        <w:t xml:space="preserve"> requirements can apply to IAB.</w:t>
      </w:r>
      <w:r w:rsidR="00A06039">
        <w:t xml:space="preserve"> Hence there are two issues that should be addressed </w:t>
      </w:r>
      <w:r w:rsidR="00F2596B">
        <w:t>in order to support</w:t>
      </w:r>
      <w:r w:rsidR="00A06039">
        <w:t xml:space="preserve"> higher order modulation </w:t>
      </w:r>
      <w:r w:rsidR="00F2596B">
        <w:t>for</w:t>
      </w:r>
      <w:r w:rsidR="00A06039">
        <w:t xml:space="preserve"> </w:t>
      </w:r>
      <w:r w:rsidR="00A06039">
        <w:rPr>
          <w:rFonts w:hint="eastAsia"/>
        </w:rPr>
        <w:t>IAB</w:t>
      </w:r>
      <w:r w:rsidR="00491F6C">
        <w:t>:</w:t>
      </w:r>
    </w:p>
    <w:p w14:paraId="3483136A" w14:textId="07052BEA" w:rsidR="00A06039" w:rsidRPr="001D072F" w:rsidRDefault="00A06039" w:rsidP="001D072F">
      <w:pPr>
        <w:pStyle w:val="ListParagraph"/>
        <w:numPr>
          <w:ilvl w:val="0"/>
          <w:numId w:val="20"/>
        </w:numPr>
        <w:rPr>
          <w:lang w:val="en-US"/>
        </w:rPr>
      </w:pPr>
      <w:r w:rsidRPr="001D072F">
        <w:rPr>
          <w:lang w:val="en-US"/>
        </w:rPr>
        <w:t xml:space="preserve">Whether the requirement for </w:t>
      </w:r>
      <w:r w:rsidR="001D072F">
        <w:rPr>
          <w:lang w:val="en-US"/>
        </w:rPr>
        <w:t>gNB</w:t>
      </w:r>
      <w:r w:rsidRPr="001D072F">
        <w:rPr>
          <w:lang w:val="en-US"/>
        </w:rPr>
        <w:t xml:space="preserve"> Tx EVM and UE maximum input level can be applie</w:t>
      </w:r>
      <w:r w:rsidR="00F2596B">
        <w:rPr>
          <w:lang w:val="en-US"/>
        </w:rPr>
        <w:t>d for IAB DU and IAB MT respectively</w:t>
      </w:r>
      <w:r w:rsidRPr="001D072F">
        <w:rPr>
          <w:lang w:val="en-US"/>
        </w:rPr>
        <w:t xml:space="preserve">. </w:t>
      </w:r>
    </w:p>
    <w:p w14:paraId="763C69C1" w14:textId="14F098C6" w:rsidR="00A06039" w:rsidRDefault="00A06039" w:rsidP="001D072F">
      <w:pPr>
        <w:pStyle w:val="ListParagraph"/>
        <w:numPr>
          <w:ilvl w:val="0"/>
          <w:numId w:val="20"/>
        </w:numPr>
        <w:rPr>
          <w:lang w:val="en-US"/>
        </w:rPr>
      </w:pPr>
      <w:r w:rsidRPr="001D072F">
        <w:rPr>
          <w:lang w:val="en-US"/>
        </w:rPr>
        <w:t xml:space="preserve">The support of 256QAM for UL in FR2 is missing. It may be difficult for a UE to support 256QAM but </w:t>
      </w:r>
      <w:r w:rsidR="00F2596B">
        <w:rPr>
          <w:lang w:val="en-US"/>
        </w:rPr>
        <w:t xml:space="preserve">may </w:t>
      </w:r>
      <w:r w:rsidRPr="001D072F">
        <w:rPr>
          <w:lang w:val="en-US"/>
        </w:rPr>
        <w:t xml:space="preserve">be feasible for IAB node. </w:t>
      </w:r>
      <w:r w:rsidR="00EA4049">
        <w:rPr>
          <w:lang w:val="en-US"/>
        </w:rPr>
        <w:t xml:space="preserve">Additional </w:t>
      </w:r>
      <w:r w:rsidRPr="001D072F">
        <w:rPr>
          <w:lang w:val="en-US"/>
        </w:rPr>
        <w:t xml:space="preserve">RAN4 </w:t>
      </w:r>
      <w:r w:rsidR="007A11BD">
        <w:rPr>
          <w:lang w:val="en-US"/>
        </w:rPr>
        <w:t>work</w:t>
      </w:r>
      <w:r w:rsidR="001D072F">
        <w:rPr>
          <w:lang w:val="en-US"/>
        </w:rPr>
        <w:t xml:space="preserve"> are </w:t>
      </w:r>
      <w:r w:rsidR="00503419">
        <w:rPr>
          <w:lang w:val="en-US"/>
        </w:rPr>
        <w:t>required</w:t>
      </w:r>
      <w:r w:rsidR="007A11BD">
        <w:rPr>
          <w:lang w:val="en-US"/>
        </w:rPr>
        <w:t xml:space="preserve"> to support 256QAM for UL in FR2</w:t>
      </w:r>
      <w:r w:rsidRPr="001D072F">
        <w:rPr>
          <w:lang w:val="en-US"/>
        </w:rPr>
        <w:t>.</w:t>
      </w:r>
    </w:p>
    <w:p w14:paraId="205EA9E8" w14:textId="0E9FB10A" w:rsidR="00F2596B" w:rsidRPr="00DC5287" w:rsidRDefault="00F2596B" w:rsidP="00F2596B">
      <w:pPr>
        <w:rPr>
          <w:b/>
          <w:lang w:val="en-US"/>
        </w:rPr>
      </w:pPr>
      <w:r w:rsidRPr="00DC5287">
        <w:rPr>
          <w:rFonts w:hint="eastAsia"/>
          <w:b/>
          <w:lang w:val="en-US"/>
        </w:rPr>
        <w:t>P</w:t>
      </w:r>
      <w:r w:rsidRPr="00DC5287">
        <w:rPr>
          <w:b/>
          <w:lang w:val="en-US"/>
        </w:rPr>
        <w:t>roposal</w:t>
      </w:r>
      <w:r w:rsidR="00B2752F" w:rsidRPr="00DC5287">
        <w:rPr>
          <w:b/>
          <w:lang w:val="en-US"/>
        </w:rPr>
        <w:t xml:space="preserve"> 1</w:t>
      </w:r>
      <w:r w:rsidRPr="00DC5287">
        <w:rPr>
          <w:rFonts w:hint="eastAsia"/>
          <w:b/>
          <w:lang w:val="en-US"/>
        </w:rPr>
        <w:t>:</w:t>
      </w:r>
      <w:r w:rsidRPr="00DC5287">
        <w:rPr>
          <w:b/>
          <w:lang w:val="en-US"/>
        </w:rPr>
        <w:t xml:space="preserve"> </w:t>
      </w:r>
      <w:r w:rsidR="00DC5287">
        <w:rPr>
          <w:b/>
          <w:lang w:val="en-US"/>
        </w:rPr>
        <w:t>S</w:t>
      </w:r>
      <w:r w:rsidR="00B2752F" w:rsidRPr="00DC5287">
        <w:rPr>
          <w:b/>
          <w:lang w:val="en-US"/>
        </w:rPr>
        <w:t xml:space="preserve">upport 256QAM for </w:t>
      </w:r>
      <w:r w:rsidR="00DC5287">
        <w:rPr>
          <w:b/>
          <w:lang w:val="en-US"/>
        </w:rPr>
        <w:t xml:space="preserve">IAB </w:t>
      </w:r>
      <w:r w:rsidR="00B2752F" w:rsidRPr="00DC5287">
        <w:rPr>
          <w:b/>
          <w:lang w:val="en-US"/>
        </w:rPr>
        <w:t xml:space="preserve">backhaul link </w:t>
      </w:r>
      <w:r w:rsidR="00DC5287" w:rsidRPr="00DC5287">
        <w:rPr>
          <w:b/>
          <w:lang w:val="en-US"/>
        </w:rPr>
        <w:t>in FR2</w:t>
      </w:r>
      <w:r w:rsidR="00B2752F" w:rsidRPr="00DC5287">
        <w:rPr>
          <w:b/>
          <w:lang w:val="en-US"/>
        </w:rPr>
        <w:t>.</w:t>
      </w:r>
    </w:p>
    <w:p w14:paraId="50F91257" w14:textId="77777777" w:rsidR="00093E4C" w:rsidRDefault="00093E4C" w:rsidP="00093E4C">
      <w:pPr>
        <w:pStyle w:val="Heading2"/>
        <w:rPr>
          <w:lang w:val="en-US" w:eastAsia="zh-CN"/>
        </w:rPr>
      </w:pPr>
      <w:r>
        <w:rPr>
          <w:lang w:val="en-US" w:eastAsia="zh-CN"/>
        </w:rPr>
        <w:t>Duplexing enhancements</w:t>
      </w:r>
    </w:p>
    <w:p w14:paraId="48FD0FCB" w14:textId="7F2DAD6E" w:rsidR="00D65C7D" w:rsidRPr="00D65C7D" w:rsidRDefault="00CC3FC1" w:rsidP="00D65C7D">
      <w:pPr>
        <w:rPr>
          <w:lang w:val="en-US"/>
        </w:rPr>
      </w:pPr>
      <w:r>
        <w:rPr>
          <w:lang w:val="en-US"/>
        </w:rPr>
        <w:t>T</w:t>
      </w:r>
      <w:r w:rsidR="00804731">
        <w:rPr>
          <w:lang w:val="en-US"/>
        </w:rPr>
        <w:t xml:space="preserve">he specification work </w:t>
      </w:r>
      <w:r>
        <w:rPr>
          <w:lang w:val="en-US"/>
        </w:rPr>
        <w:t>of Rel-16 W</w:t>
      </w:r>
      <w:r>
        <w:rPr>
          <w:rFonts w:hint="eastAsia"/>
          <w:lang w:val="en-US"/>
        </w:rPr>
        <w:t>I</w:t>
      </w:r>
      <w:r>
        <w:rPr>
          <w:lang w:val="en-US"/>
        </w:rPr>
        <w:t xml:space="preserve"> </w:t>
      </w:r>
      <w:r w:rsidR="00804731">
        <w:rPr>
          <w:lang w:val="en-US"/>
        </w:rPr>
        <w:t xml:space="preserve">has mainly focused on IAB node with TDM constraint, </w:t>
      </w:r>
      <w:r>
        <w:rPr>
          <w:lang w:val="en-US"/>
        </w:rPr>
        <w:t xml:space="preserve">i.e. </w:t>
      </w:r>
      <w:r w:rsidR="00804731">
        <w:rPr>
          <w:lang w:val="en-US"/>
        </w:rPr>
        <w:t xml:space="preserve">simultaneous transmission and reception at backhaul link and access link is not allowed. </w:t>
      </w:r>
      <w:r w:rsidR="005E08A8">
        <w:rPr>
          <w:lang w:val="en-US"/>
        </w:rPr>
        <w:t xml:space="preserve">For </w:t>
      </w:r>
      <w:r w:rsidR="00B71337">
        <w:rPr>
          <w:lang w:val="en-US"/>
        </w:rPr>
        <w:t xml:space="preserve">a potential </w:t>
      </w:r>
      <w:r w:rsidR="00B71337">
        <w:rPr>
          <w:rFonts w:hint="eastAsia"/>
          <w:lang w:val="en-US"/>
        </w:rPr>
        <w:t>R</w:t>
      </w:r>
      <w:r w:rsidR="00B71337">
        <w:rPr>
          <w:lang w:val="en-US"/>
        </w:rPr>
        <w:t>el-17 WI</w:t>
      </w:r>
      <w:r w:rsidR="005E08A8">
        <w:rPr>
          <w:lang w:val="en-US"/>
        </w:rPr>
        <w:t>, d</w:t>
      </w:r>
      <w:r w:rsidR="00D65C7D">
        <w:rPr>
          <w:lang w:val="en-US"/>
        </w:rPr>
        <w:t>uplexing enhancements</w:t>
      </w:r>
      <w:r w:rsidR="00804731">
        <w:rPr>
          <w:lang w:val="en-US"/>
        </w:rPr>
        <w:t xml:space="preserve"> </w:t>
      </w:r>
      <w:r w:rsidR="00D65C7D">
        <w:rPr>
          <w:lang w:val="en-US"/>
        </w:rPr>
        <w:t xml:space="preserve">have been discussed and widely supported. </w:t>
      </w:r>
      <w:r w:rsidR="005E08A8">
        <w:rPr>
          <w:lang w:val="en-US"/>
        </w:rPr>
        <w:t xml:space="preserve">In our </w:t>
      </w:r>
      <w:r w:rsidR="00D65C7D">
        <w:rPr>
          <w:lang w:val="en-US"/>
        </w:rPr>
        <w:t>view, the s</w:t>
      </w:r>
      <w:r w:rsidR="00D65C7D" w:rsidRPr="00D65C7D">
        <w:rPr>
          <w:lang w:val="en-US"/>
        </w:rPr>
        <w:t xml:space="preserve">pecification </w:t>
      </w:r>
      <w:r w:rsidR="00804731">
        <w:rPr>
          <w:lang w:val="en-US"/>
        </w:rPr>
        <w:t>work</w:t>
      </w:r>
      <w:r w:rsidR="005E08A8">
        <w:rPr>
          <w:lang w:val="en-US"/>
        </w:rPr>
        <w:t xml:space="preserve"> </w:t>
      </w:r>
      <w:r w:rsidR="00804731">
        <w:rPr>
          <w:lang w:val="en-US"/>
        </w:rPr>
        <w:t>should start with the solutions that have been discussed extensively during the SI phase</w:t>
      </w:r>
      <w:r w:rsidR="00491F6C">
        <w:rPr>
          <w:lang w:val="en-US"/>
        </w:rPr>
        <w:t>.</w:t>
      </w:r>
    </w:p>
    <w:p w14:paraId="35D1F7AD" w14:textId="0D710C71" w:rsidR="00DC5287" w:rsidRPr="00DC5287" w:rsidRDefault="00B2752F" w:rsidP="00DC5287">
      <w:pPr>
        <w:rPr>
          <w:b/>
          <w:lang w:val="en-US"/>
        </w:rPr>
      </w:pPr>
      <w:r w:rsidRPr="00B2752F">
        <w:rPr>
          <w:b/>
          <w:lang w:val="en-US"/>
        </w:rPr>
        <w:t>Proposal</w:t>
      </w:r>
      <w:r w:rsidR="00DC5287">
        <w:rPr>
          <w:b/>
          <w:lang w:val="en-US"/>
        </w:rPr>
        <w:t xml:space="preserve"> 2</w:t>
      </w:r>
      <w:r w:rsidRPr="00B2752F">
        <w:rPr>
          <w:b/>
          <w:lang w:val="en-US"/>
        </w:rPr>
        <w:t>:</w:t>
      </w:r>
      <w:r w:rsidR="00DC5287">
        <w:rPr>
          <w:b/>
          <w:lang w:val="en-US"/>
        </w:rPr>
        <w:t xml:space="preserve"> </w:t>
      </w:r>
      <w:r w:rsidR="006F64EC">
        <w:rPr>
          <w:b/>
          <w:lang w:val="en-US"/>
        </w:rPr>
        <w:t>The s</w:t>
      </w:r>
      <w:r w:rsidR="00DC5287" w:rsidRPr="00DC5287">
        <w:rPr>
          <w:b/>
          <w:lang w:val="en-US"/>
        </w:rPr>
        <w:t>pecification of enhancements to resource multiplexing between backhaul an</w:t>
      </w:r>
      <w:r w:rsidR="006F64EC">
        <w:rPr>
          <w:b/>
          <w:lang w:val="en-US"/>
        </w:rPr>
        <w:t>d access links for IAB include</w:t>
      </w:r>
      <w:r w:rsidR="00566139">
        <w:rPr>
          <w:b/>
          <w:lang w:val="en-US"/>
        </w:rPr>
        <w:t>s</w:t>
      </w:r>
      <w:r w:rsidR="006F64EC">
        <w:rPr>
          <w:b/>
          <w:lang w:val="en-US"/>
        </w:rPr>
        <w:t xml:space="preserve"> the following</w:t>
      </w:r>
      <w:r w:rsidR="00566139">
        <w:rPr>
          <w:b/>
          <w:lang w:val="en-US"/>
        </w:rPr>
        <w:t xml:space="preserve"> aspects</w:t>
      </w:r>
    </w:p>
    <w:p w14:paraId="53177566" w14:textId="77777777" w:rsidR="00DC5287" w:rsidRPr="00DC5287" w:rsidRDefault="00DC5287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DC5287">
        <w:rPr>
          <w:b/>
          <w:lang w:val="en-US"/>
        </w:rPr>
        <w:t xml:space="preserve">Specification of resource allocation/configuration and associated behaviours for IAB node to support SDM/FDM operation, e.g. remove the restriction of Rel-16 that </w:t>
      </w:r>
      <w:r w:rsidRPr="00DC5287">
        <w:rPr>
          <w:b/>
          <w:i/>
          <w:lang w:val="en-US"/>
        </w:rPr>
        <w:t>TDD-UL-DL-</w:t>
      </w:r>
      <w:r w:rsidRPr="00DC5287">
        <w:rPr>
          <w:b/>
          <w:i/>
          <w:lang w:val="en-US"/>
        </w:rPr>
        <w:lastRenderedPageBreak/>
        <w:t>ConfigDedicated-IAB-MT</w:t>
      </w:r>
      <w:r w:rsidRPr="00DC5287">
        <w:rPr>
          <w:b/>
          <w:lang w:val="en-US"/>
        </w:rPr>
        <w:t xml:space="preserve"> can only overrides the flexible symbols provided by </w:t>
      </w:r>
      <w:r w:rsidRPr="00DC5287">
        <w:rPr>
          <w:b/>
          <w:i/>
          <w:lang w:val="en-US"/>
        </w:rPr>
        <w:t>TDD-UL-DL-ConfigurationCommon</w:t>
      </w:r>
      <w:r w:rsidRPr="00DC5287">
        <w:rPr>
          <w:b/>
          <w:lang w:val="en-US"/>
        </w:rPr>
        <w:t xml:space="preserve"> </w:t>
      </w:r>
    </w:p>
    <w:p w14:paraId="45FFA3D2" w14:textId="77777777" w:rsidR="00DC5287" w:rsidRPr="00DC5287" w:rsidRDefault="00DC5287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DC5287">
        <w:rPr>
          <w:b/>
          <w:lang w:val="en-US"/>
        </w:rPr>
        <w:t xml:space="preserve">Specification of mechanisms to support case 6 and case 7 timing alignment </w:t>
      </w:r>
    </w:p>
    <w:p w14:paraId="7B3C79FD" w14:textId="77777777" w:rsidR="00DC5287" w:rsidRPr="00DC5287" w:rsidRDefault="00DC5287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DC5287">
        <w:rPr>
          <w:b/>
          <w:lang w:val="en-US"/>
        </w:rPr>
        <w:t xml:space="preserve">Specification of enhancements to power control to support SDM/FDM operation </w:t>
      </w:r>
    </w:p>
    <w:p w14:paraId="6E33DDBE" w14:textId="5A20E2C8" w:rsidR="00B2752F" w:rsidRPr="00DC5287" w:rsidRDefault="00DC5287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DC5287">
        <w:rPr>
          <w:b/>
          <w:lang w:val="en-US"/>
        </w:rPr>
        <w:t>Specification of mechanisms for interference measurement and resource coordination for CLI management</w:t>
      </w:r>
    </w:p>
    <w:p w14:paraId="6469F2A5" w14:textId="773D2CB4" w:rsidR="00300229" w:rsidRDefault="004261BD" w:rsidP="00D65C7D">
      <w:r>
        <w:rPr>
          <w:lang w:val="en-US"/>
        </w:rPr>
        <w:t>I</w:t>
      </w:r>
      <w:r w:rsidR="00300229">
        <w:rPr>
          <w:lang w:val="en-US"/>
        </w:rPr>
        <w:t xml:space="preserve">t was </w:t>
      </w:r>
      <w:r>
        <w:rPr>
          <w:lang w:val="en-US"/>
        </w:rPr>
        <w:t xml:space="preserve">also </w:t>
      </w:r>
      <w:r w:rsidR="00300229">
        <w:rPr>
          <w:lang w:val="en-US"/>
        </w:rPr>
        <w:t xml:space="preserve">proposed to enhance the </w:t>
      </w:r>
      <w:r w:rsidR="00300229" w:rsidRPr="00300229">
        <w:t xml:space="preserve">support </w:t>
      </w:r>
      <w:r w:rsidR="00300229">
        <w:t xml:space="preserve">of </w:t>
      </w:r>
      <w:r w:rsidR="00300229" w:rsidRPr="00300229">
        <w:t>multi-parent connectivity scenarios defined by RAN2/RAN3 (e.g. intra-frequency) in the context of topology redundancy for improved robustness and load balancing.</w:t>
      </w:r>
      <w:r>
        <w:t xml:space="preserve"> In our understanding, this proposal relates to the scenario where one IAB node MT is connecting to two parent IAB nodes. In the Rel-16 MR-DC WI, intra-frequency </w:t>
      </w:r>
      <w:r>
        <w:rPr>
          <w:rFonts w:hint="eastAsia"/>
        </w:rPr>
        <w:t>dual</w:t>
      </w:r>
      <w:r>
        <w:t xml:space="preserve"> connectivity has already been supported. It is unclear any further enhancement is necessary and any performance improvement can be achieved</w:t>
      </w:r>
      <w:r w:rsidR="00FE4FA7">
        <w:t>. Hence, some justification are needed before agreeing to include it into the scope of a potential Rel-17 WI.</w:t>
      </w:r>
    </w:p>
    <w:p w14:paraId="38CC1A14" w14:textId="5C2A7920" w:rsidR="004261BD" w:rsidRPr="005E0B5D" w:rsidRDefault="00EC36B8" w:rsidP="00D65C7D">
      <w:pPr>
        <w:rPr>
          <w:b/>
        </w:rPr>
      </w:pPr>
      <w:r w:rsidRPr="005E0B5D">
        <w:rPr>
          <w:b/>
        </w:rPr>
        <w:t>Proposal</w:t>
      </w:r>
      <w:r w:rsidR="00075F1D" w:rsidRPr="005E0B5D">
        <w:rPr>
          <w:b/>
        </w:rPr>
        <w:t xml:space="preserve"> 3</w:t>
      </w:r>
      <w:r w:rsidRPr="005E0B5D">
        <w:rPr>
          <w:b/>
        </w:rPr>
        <w:t xml:space="preserve">: </w:t>
      </w:r>
      <w:r w:rsidR="005E0B5D">
        <w:rPr>
          <w:b/>
        </w:rPr>
        <w:t>The</w:t>
      </w:r>
      <w:r w:rsidR="005E0B5D" w:rsidRPr="005E0B5D">
        <w:rPr>
          <w:b/>
        </w:rPr>
        <w:t xml:space="preserve"> </w:t>
      </w:r>
      <w:r w:rsidR="00411D7A">
        <w:rPr>
          <w:b/>
        </w:rPr>
        <w:t>enhancement</w:t>
      </w:r>
      <w:r w:rsidR="005E0B5D" w:rsidRPr="005E0B5D">
        <w:rPr>
          <w:b/>
        </w:rPr>
        <w:t xml:space="preserve"> of multi-parent connectivity scenarios defined by RAN2/RAN3 (e.g. intra-frequency) in the context of topology redundancy for improved robustness and load bala</w:t>
      </w:r>
      <w:r w:rsidR="005E0B5D">
        <w:rPr>
          <w:b/>
        </w:rPr>
        <w:t>ncing needs further justification compared to Rel-16 intra-frequency dual connectivity.</w:t>
      </w:r>
    </w:p>
    <w:p w14:paraId="17963753" w14:textId="77B08C6C" w:rsidR="00DC61DC" w:rsidRDefault="00E948C4" w:rsidP="00DC61DC">
      <w:pPr>
        <w:pStyle w:val="Heading2"/>
        <w:rPr>
          <w:lang w:val="en-US"/>
        </w:rPr>
      </w:pPr>
      <w:r>
        <w:rPr>
          <w:lang w:val="en-US"/>
        </w:rPr>
        <w:t>Topology adaptation enhancements</w:t>
      </w:r>
    </w:p>
    <w:p w14:paraId="4B07FBA0" w14:textId="2EE80CA5" w:rsidR="00E948C4" w:rsidRDefault="00E948C4" w:rsidP="00E948C4">
      <w:r>
        <w:t>In Rel-16 only intra-Donor CU topology adaptation of IAB-node</w:t>
      </w:r>
      <w:r w:rsidR="003907D7">
        <w:t xml:space="preserve"> is supported due to time limitation.</w:t>
      </w:r>
      <w:r>
        <w:t xml:space="preserve"> </w:t>
      </w:r>
      <w:r w:rsidR="003907D7">
        <w:t>It</w:t>
      </w:r>
      <w:r>
        <w:t xml:space="preserve"> would be beneficial to support inter-Donor CU topology adaptation</w:t>
      </w:r>
      <w:r w:rsidR="003907D7">
        <w:t xml:space="preserve"> to enable IAB-node self-topology adaptation in all scenarios</w:t>
      </w:r>
      <w:r>
        <w:t>. In order to support inter-Donor CU topology adaptation, w</w:t>
      </w:r>
      <w:r w:rsidRPr="006011D0">
        <w:t xml:space="preserve">hether changing the IAB-donor will result </w:t>
      </w:r>
      <w:r w:rsidR="00491F6C">
        <w:t xml:space="preserve">in </w:t>
      </w:r>
      <w:r w:rsidRPr="006011D0">
        <w:t>the change in PCI of the IAB-node and its downstream IAB-nodes needs to be discussed</w:t>
      </w:r>
      <w:r>
        <w:t xml:space="preserve">. Another potential enhancement is </w:t>
      </w:r>
      <w:r w:rsidRPr="006011D0">
        <w:t>to regard the migrating IAB-node and its children as a group, and the network control</w:t>
      </w:r>
      <w:r w:rsidR="00491F6C">
        <w:t>s</w:t>
      </w:r>
      <w:r w:rsidRPr="006011D0">
        <w:t xml:space="preserve"> all the members in this group handover to the target donor-CU</w:t>
      </w:r>
      <w:r w:rsidR="008B1288">
        <w:t>.</w:t>
      </w:r>
    </w:p>
    <w:p w14:paraId="5C329DC1" w14:textId="70CDE6CA" w:rsidR="008B1288" w:rsidRDefault="008B1288" w:rsidP="00E948C4">
      <w:r>
        <w:t>In Rel-16, some mobility enhancements mechanism has been introduced for a normal UE, such as DAPS based handover to reduce service interruption during handover. It could also be beneficial to apply Rel-16 mobility enhancements mechanisms to IAB-node.</w:t>
      </w:r>
    </w:p>
    <w:p w14:paraId="255FB833" w14:textId="64DD12B8" w:rsidR="008B1288" w:rsidRDefault="008B1288" w:rsidP="00E948C4">
      <w:r>
        <w:t xml:space="preserve">The mobile relay has been extensively studied in Rel-11 and Rel-12 in LTE. The scenario and requirements were defined in TR 36.836. Several solutions were discussed including using existing solution as ‘LTE as backhaul, Wi-Fi as Access on Board’, which have no impact on standard. For mobile IAB, we expect that existing solutions can also be used without standard impact, otherwise a study would likely lead to discussing very complicated solutions especially to address network planning and interference migration due to </w:t>
      </w:r>
      <w:r w:rsidR="003907D7">
        <w:t xml:space="preserve">high speed </w:t>
      </w:r>
      <w:r>
        <w:t xml:space="preserve">moving base station. We think topology adaptation enhancements should </w:t>
      </w:r>
      <w:r w:rsidR="003907D7">
        <w:t xml:space="preserve">be </w:t>
      </w:r>
      <w:r>
        <w:t>only for stationary IAB-node.</w:t>
      </w:r>
    </w:p>
    <w:p w14:paraId="2EBC2532" w14:textId="0D4B5B58" w:rsidR="008B1288" w:rsidRDefault="008B1288" w:rsidP="008B1288">
      <w:pPr>
        <w:rPr>
          <w:b/>
          <w:lang w:val="en-US"/>
        </w:rPr>
      </w:pPr>
      <w:r w:rsidRPr="00B2752F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3907D7">
        <w:rPr>
          <w:b/>
          <w:lang w:val="en-US"/>
        </w:rPr>
        <w:t>4</w:t>
      </w:r>
      <w:r w:rsidRPr="00B2752F">
        <w:rPr>
          <w:b/>
          <w:lang w:val="en-US"/>
        </w:rPr>
        <w:t>:</w:t>
      </w:r>
      <w:r>
        <w:rPr>
          <w:b/>
          <w:lang w:val="en-US"/>
        </w:rPr>
        <w:t xml:space="preserve"> The s</w:t>
      </w:r>
      <w:r w:rsidRPr="00DC5287">
        <w:rPr>
          <w:b/>
          <w:lang w:val="en-US"/>
        </w:rPr>
        <w:t xml:space="preserve">pecification of </w:t>
      </w:r>
      <w:r>
        <w:rPr>
          <w:b/>
          <w:lang w:val="en-US"/>
        </w:rPr>
        <w:t>topology adaptation enhancements includes the following aspects:</w:t>
      </w:r>
    </w:p>
    <w:p w14:paraId="7DEF2CE8" w14:textId="26288E23" w:rsidR="008B1288" w:rsidRPr="00DC5287" w:rsidRDefault="008B1288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DC5287">
        <w:rPr>
          <w:b/>
          <w:lang w:val="en-US"/>
        </w:rPr>
        <w:t xml:space="preserve">Specification of </w:t>
      </w:r>
      <w:r>
        <w:rPr>
          <w:b/>
          <w:lang w:val="en-US"/>
        </w:rPr>
        <w:t>inter-Donor CU topology adaptation procedure.</w:t>
      </w:r>
      <w:r w:rsidRPr="00DC5287">
        <w:rPr>
          <w:b/>
          <w:lang w:val="en-US"/>
        </w:rPr>
        <w:t xml:space="preserve"> </w:t>
      </w:r>
    </w:p>
    <w:p w14:paraId="5B9AAB6D" w14:textId="51C06C83" w:rsidR="008B1288" w:rsidRDefault="008B1288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DC5287">
        <w:rPr>
          <w:b/>
          <w:lang w:val="en-US"/>
        </w:rPr>
        <w:t xml:space="preserve">Specification of </w:t>
      </w:r>
      <w:r>
        <w:rPr>
          <w:b/>
          <w:lang w:val="en-US"/>
        </w:rPr>
        <w:t>mobility enhancements to reduce service interruption for IAB topology adaptation e.g. support of DAPS based handover for IAB.</w:t>
      </w:r>
    </w:p>
    <w:p w14:paraId="64504DCB" w14:textId="261BD60F" w:rsidR="00FD59E7" w:rsidRPr="006011D0" w:rsidRDefault="008B1288" w:rsidP="006011D0">
      <w:pPr>
        <w:pStyle w:val="ListParagraph"/>
        <w:numPr>
          <w:ilvl w:val="0"/>
          <w:numId w:val="24"/>
        </w:numPr>
        <w:rPr>
          <w:b/>
          <w:lang w:val="en-US"/>
        </w:rPr>
      </w:pPr>
      <w:r>
        <w:rPr>
          <w:b/>
          <w:lang w:val="en-US"/>
        </w:rPr>
        <w:t>The topology adaptation enhancements only applies to stationary IAB-node, i.e. do not take mobile IAB into account.</w:t>
      </w:r>
    </w:p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40D19885" w14:textId="4FA39EC9" w:rsidR="00895A20" w:rsidRDefault="00491F6C" w:rsidP="00895A20">
      <w:pPr>
        <w:rPr>
          <w:lang w:eastAsia="en-US"/>
        </w:rPr>
      </w:pPr>
      <w:r>
        <w:rPr>
          <w:lang w:eastAsia="en-US"/>
        </w:rPr>
        <w:t>T</w:t>
      </w:r>
      <w:r w:rsidR="002E6E6D">
        <w:rPr>
          <w:lang w:eastAsia="en-US"/>
        </w:rPr>
        <w:t xml:space="preserve">he </w:t>
      </w:r>
      <w:r>
        <w:rPr>
          <w:lang w:eastAsia="en-US"/>
        </w:rPr>
        <w:t>observations and proposals of section 2 should be considered for scoping the Rel-17 IAB enhancements work item.</w:t>
      </w:r>
    </w:p>
    <w:p w14:paraId="3E6BD552" w14:textId="77777777" w:rsidR="004D0459" w:rsidRPr="00F05251" w:rsidRDefault="004D0459">
      <w:pPr>
        <w:pStyle w:val="Reference"/>
        <w:numPr>
          <w:ilvl w:val="0"/>
          <w:numId w:val="0"/>
        </w:numPr>
        <w:rPr>
          <w:noProof/>
          <w:sz w:val="18"/>
          <w:lang w:val="en-US"/>
        </w:rPr>
      </w:pPr>
    </w:p>
    <w:sectPr w:rsidR="004D0459" w:rsidRPr="00F05251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19820" w14:textId="77777777" w:rsidR="00E73092" w:rsidRDefault="00E73092">
      <w:r>
        <w:separator/>
      </w:r>
    </w:p>
  </w:endnote>
  <w:endnote w:type="continuationSeparator" w:id="0">
    <w:p w14:paraId="4A8DC464" w14:textId="77777777" w:rsidR="00E73092" w:rsidRDefault="00E7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B2752F" w:rsidRDefault="00B2752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11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11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85151" w14:textId="77777777" w:rsidR="00E73092" w:rsidRDefault="00E73092">
      <w:r>
        <w:separator/>
      </w:r>
    </w:p>
  </w:footnote>
  <w:footnote w:type="continuationSeparator" w:id="0">
    <w:p w14:paraId="101C25F2" w14:textId="77777777" w:rsidR="00E73092" w:rsidRDefault="00E73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B2752F" w:rsidRDefault="00B2752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07621"/>
    <w:multiLevelType w:val="hybridMultilevel"/>
    <w:tmpl w:val="2B6A07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3710DB7"/>
    <w:multiLevelType w:val="hybridMultilevel"/>
    <w:tmpl w:val="D2045CC2"/>
    <w:lvl w:ilvl="0" w:tplc="FE6A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029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A00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6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AE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20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43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360839"/>
    <w:multiLevelType w:val="hybridMultilevel"/>
    <w:tmpl w:val="5B98532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4D4350B"/>
    <w:multiLevelType w:val="hybridMultilevel"/>
    <w:tmpl w:val="30187452"/>
    <w:lvl w:ilvl="0" w:tplc="C89C9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C9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A1C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85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062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AE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66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0D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4C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6A1F38"/>
    <w:multiLevelType w:val="hybridMultilevel"/>
    <w:tmpl w:val="D2106968"/>
    <w:lvl w:ilvl="0" w:tplc="3A8A4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B4E3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62B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24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CC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06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2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87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AA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05502"/>
    <w:multiLevelType w:val="hybridMultilevel"/>
    <w:tmpl w:val="2584A0B2"/>
    <w:lvl w:ilvl="0" w:tplc="70A252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F81BC7"/>
    <w:multiLevelType w:val="hybridMultilevel"/>
    <w:tmpl w:val="A17EEA9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57A1A08"/>
    <w:multiLevelType w:val="hybridMultilevel"/>
    <w:tmpl w:val="A32E9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84B62"/>
    <w:multiLevelType w:val="hybridMultilevel"/>
    <w:tmpl w:val="63900E8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12C75"/>
    <w:multiLevelType w:val="hybridMultilevel"/>
    <w:tmpl w:val="B512E6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E312E09"/>
    <w:multiLevelType w:val="hybridMultilevel"/>
    <w:tmpl w:val="B49685E6"/>
    <w:lvl w:ilvl="0" w:tplc="543AC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D4A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38F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5C2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E66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E1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EB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45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6D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FCE0A89"/>
    <w:multiLevelType w:val="hybridMultilevel"/>
    <w:tmpl w:val="A9A813AE"/>
    <w:lvl w:ilvl="0" w:tplc="3A8A41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26C29"/>
    <w:multiLevelType w:val="hybridMultilevel"/>
    <w:tmpl w:val="68748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6"/>
  </w:num>
  <w:num w:numId="5">
    <w:abstractNumId w:val="18"/>
  </w:num>
  <w:num w:numId="6">
    <w:abstractNumId w:val="8"/>
  </w:num>
  <w:num w:numId="7">
    <w:abstractNumId w:val="17"/>
  </w:num>
  <w:num w:numId="8">
    <w:abstractNumId w:val="4"/>
  </w:num>
  <w:num w:numId="9">
    <w:abstractNumId w:val="22"/>
  </w:num>
  <w:num w:numId="10">
    <w:abstractNumId w:val="14"/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  <w:num w:numId="15">
    <w:abstractNumId w:val="13"/>
  </w:num>
  <w:num w:numId="16">
    <w:abstractNumId w:val="23"/>
  </w:num>
  <w:num w:numId="17">
    <w:abstractNumId w:val="20"/>
  </w:num>
  <w:num w:numId="18">
    <w:abstractNumId w:val="0"/>
  </w:num>
  <w:num w:numId="19">
    <w:abstractNumId w:val="7"/>
  </w:num>
  <w:num w:numId="20">
    <w:abstractNumId w:val="16"/>
  </w:num>
  <w:num w:numId="21">
    <w:abstractNumId w:val="19"/>
  </w:num>
  <w:num w:numId="22">
    <w:abstractNumId w:val="12"/>
  </w:num>
  <w:num w:numId="23">
    <w:abstractNumId w:val="2"/>
  </w:num>
  <w:num w:numId="2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3DC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13F6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045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28F"/>
    <w:rsid w:val="00073498"/>
    <w:rsid w:val="0007368E"/>
    <w:rsid w:val="00073DA9"/>
    <w:rsid w:val="00074961"/>
    <w:rsid w:val="00075C0B"/>
    <w:rsid w:val="00075F1D"/>
    <w:rsid w:val="00076646"/>
    <w:rsid w:val="00077609"/>
    <w:rsid w:val="00077E5F"/>
    <w:rsid w:val="0008036A"/>
    <w:rsid w:val="0008040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3E4C"/>
    <w:rsid w:val="00094A17"/>
    <w:rsid w:val="0009510F"/>
    <w:rsid w:val="0009589E"/>
    <w:rsid w:val="0009656C"/>
    <w:rsid w:val="0009682B"/>
    <w:rsid w:val="00097264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A9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6E3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E7384"/>
    <w:rsid w:val="000F0538"/>
    <w:rsid w:val="000F06D6"/>
    <w:rsid w:val="000F0C48"/>
    <w:rsid w:val="000F0EB1"/>
    <w:rsid w:val="000F1106"/>
    <w:rsid w:val="000F1873"/>
    <w:rsid w:val="000F1948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078D3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6091"/>
    <w:rsid w:val="00137520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9D8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1E87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097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40B5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2C60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2F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D71A0"/>
    <w:rsid w:val="001E1004"/>
    <w:rsid w:val="001E16D9"/>
    <w:rsid w:val="001E2E39"/>
    <w:rsid w:val="001E3544"/>
    <w:rsid w:val="001E383F"/>
    <w:rsid w:val="001E3D13"/>
    <w:rsid w:val="001E3D9E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71F"/>
    <w:rsid w:val="001F3916"/>
    <w:rsid w:val="001F4856"/>
    <w:rsid w:val="001F4F25"/>
    <w:rsid w:val="001F4F6A"/>
    <w:rsid w:val="001F532E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3731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AEA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AE5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4C3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4BD0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6FA2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2BD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6E82"/>
    <w:rsid w:val="002C75AC"/>
    <w:rsid w:val="002D0410"/>
    <w:rsid w:val="002D0569"/>
    <w:rsid w:val="002D071A"/>
    <w:rsid w:val="002D08B3"/>
    <w:rsid w:val="002D0A92"/>
    <w:rsid w:val="002D0AE1"/>
    <w:rsid w:val="002D0FFD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6E6D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2F6328"/>
    <w:rsid w:val="00300229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83"/>
    <w:rsid w:val="00334C9C"/>
    <w:rsid w:val="00335846"/>
    <w:rsid w:val="00335858"/>
    <w:rsid w:val="00336BDA"/>
    <w:rsid w:val="0033751B"/>
    <w:rsid w:val="003405B1"/>
    <w:rsid w:val="00341661"/>
    <w:rsid w:val="003417D5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07D7"/>
    <w:rsid w:val="00391801"/>
    <w:rsid w:val="003919AE"/>
    <w:rsid w:val="003939FF"/>
    <w:rsid w:val="00393F64"/>
    <w:rsid w:val="003946EF"/>
    <w:rsid w:val="00394F49"/>
    <w:rsid w:val="00395594"/>
    <w:rsid w:val="00395772"/>
    <w:rsid w:val="0039623E"/>
    <w:rsid w:val="00396FE0"/>
    <w:rsid w:val="003974DD"/>
    <w:rsid w:val="00397BD0"/>
    <w:rsid w:val="003A0046"/>
    <w:rsid w:val="003A08CC"/>
    <w:rsid w:val="003A0CD7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2A38"/>
    <w:rsid w:val="003D3A7D"/>
    <w:rsid w:val="003D3C45"/>
    <w:rsid w:val="003D5313"/>
    <w:rsid w:val="003D5B1F"/>
    <w:rsid w:val="003D674C"/>
    <w:rsid w:val="003D6775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44A"/>
    <w:rsid w:val="003F252C"/>
    <w:rsid w:val="003F271A"/>
    <w:rsid w:val="003F2CD4"/>
    <w:rsid w:val="003F633F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1C84"/>
    <w:rsid w:val="00411D7A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1BD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864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B35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D71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187A"/>
    <w:rsid w:val="00491F6C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2BCE"/>
    <w:rsid w:val="004A32A4"/>
    <w:rsid w:val="004A37A2"/>
    <w:rsid w:val="004A46CC"/>
    <w:rsid w:val="004A5180"/>
    <w:rsid w:val="004A59CD"/>
    <w:rsid w:val="004A5B27"/>
    <w:rsid w:val="004A5F4A"/>
    <w:rsid w:val="004A6154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3648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4F764C"/>
    <w:rsid w:val="00501474"/>
    <w:rsid w:val="00501A45"/>
    <w:rsid w:val="005021CD"/>
    <w:rsid w:val="00503419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269E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7EF"/>
    <w:rsid w:val="00542F24"/>
    <w:rsid w:val="00543023"/>
    <w:rsid w:val="00544A3D"/>
    <w:rsid w:val="005455A8"/>
    <w:rsid w:val="005465F9"/>
    <w:rsid w:val="00546970"/>
    <w:rsid w:val="00546A7B"/>
    <w:rsid w:val="00546E82"/>
    <w:rsid w:val="00550616"/>
    <w:rsid w:val="005507E5"/>
    <w:rsid w:val="00550E40"/>
    <w:rsid w:val="0055220B"/>
    <w:rsid w:val="0055243A"/>
    <w:rsid w:val="0055333A"/>
    <w:rsid w:val="005539AF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6139"/>
    <w:rsid w:val="00567B73"/>
    <w:rsid w:val="00572505"/>
    <w:rsid w:val="00573463"/>
    <w:rsid w:val="00573635"/>
    <w:rsid w:val="00573883"/>
    <w:rsid w:val="00573F84"/>
    <w:rsid w:val="00574C46"/>
    <w:rsid w:val="00575197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4B6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6F9F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08A8"/>
    <w:rsid w:val="005E0B5D"/>
    <w:rsid w:val="005E1312"/>
    <w:rsid w:val="005E1B69"/>
    <w:rsid w:val="005E1C22"/>
    <w:rsid w:val="005E2220"/>
    <w:rsid w:val="005E254E"/>
    <w:rsid w:val="005E2861"/>
    <w:rsid w:val="005E36FF"/>
    <w:rsid w:val="005E385F"/>
    <w:rsid w:val="005E3A1B"/>
    <w:rsid w:val="005E3C66"/>
    <w:rsid w:val="005E4CBF"/>
    <w:rsid w:val="005E4DB9"/>
    <w:rsid w:val="005E5B81"/>
    <w:rsid w:val="005E644C"/>
    <w:rsid w:val="005E7C1E"/>
    <w:rsid w:val="005F0D6B"/>
    <w:rsid w:val="005F1310"/>
    <w:rsid w:val="005F18A4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1D0"/>
    <w:rsid w:val="006018EE"/>
    <w:rsid w:val="00602282"/>
    <w:rsid w:val="0060283C"/>
    <w:rsid w:val="00602914"/>
    <w:rsid w:val="006030D9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28AF"/>
    <w:rsid w:val="006340CA"/>
    <w:rsid w:val="00635496"/>
    <w:rsid w:val="00635751"/>
    <w:rsid w:val="0063629B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839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46D9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6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B6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8F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64EC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366A"/>
    <w:rsid w:val="007148D3"/>
    <w:rsid w:val="00714A49"/>
    <w:rsid w:val="00715B9A"/>
    <w:rsid w:val="00715F4C"/>
    <w:rsid w:val="007168CE"/>
    <w:rsid w:val="00716C71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451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053F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89E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5B8"/>
    <w:rsid w:val="007957A0"/>
    <w:rsid w:val="00795C18"/>
    <w:rsid w:val="00795C92"/>
    <w:rsid w:val="00796231"/>
    <w:rsid w:val="007A1120"/>
    <w:rsid w:val="007A11BD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29E"/>
    <w:rsid w:val="007A43A6"/>
    <w:rsid w:val="007A56A4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4E38"/>
    <w:rsid w:val="007B50AE"/>
    <w:rsid w:val="007B51DF"/>
    <w:rsid w:val="007B6C2B"/>
    <w:rsid w:val="007B6DD4"/>
    <w:rsid w:val="007B7BFA"/>
    <w:rsid w:val="007C05DD"/>
    <w:rsid w:val="007C20B8"/>
    <w:rsid w:val="007C27D0"/>
    <w:rsid w:val="007C3525"/>
    <w:rsid w:val="007C37F4"/>
    <w:rsid w:val="007C3BFB"/>
    <w:rsid w:val="007C3D18"/>
    <w:rsid w:val="007C4F90"/>
    <w:rsid w:val="007C5BE5"/>
    <w:rsid w:val="007C5F38"/>
    <w:rsid w:val="007C5FA6"/>
    <w:rsid w:val="007C5FFF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7F7"/>
    <w:rsid w:val="007D7A81"/>
    <w:rsid w:val="007E008C"/>
    <w:rsid w:val="007E33FA"/>
    <w:rsid w:val="007E35B3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731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4FD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24A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07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344C"/>
    <w:rsid w:val="00854D24"/>
    <w:rsid w:val="00855E51"/>
    <w:rsid w:val="0085617A"/>
    <w:rsid w:val="0085646D"/>
    <w:rsid w:val="00856911"/>
    <w:rsid w:val="00856FC3"/>
    <w:rsid w:val="008576D1"/>
    <w:rsid w:val="00857CFC"/>
    <w:rsid w:val="00860888"/>
    <w:rsid w:val="00860916"/>
    <w:rsid w:val="008609F2"/>
    <w:rsid w:val="00861445"/>
    <w:rsid w:val="008621D5"/>
    <w:rsid w:val="00864A9B"/>
    <w:rsid w:val="00864D1C"/>
    <w:rsid w:val="00865BA3"/>
    <w:rsid w:val="00865FC0"/>
    <w:rsid w:val="00866799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1D9"/>
    <w:rsid w:val="00895386"/>
    <w:rsid w:val="00895A20"/>
    <w:rsid w:val="00895D53"/>
    <w:rsid w:val="00895F69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288"/>
    <w:rsid w:val="008B1840"/>
    <w:rsid w:val="008B2602"/>
    <w:rsid w:val="008B3319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8BE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2114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3A75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56E9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55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97630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983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C6B72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3F57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552D"/>
    <w:rsid w:val="00A06039"/>
    <w:rsid w:val="00A069B4"/>
    <w:rsid w:val="00A07097"/>
    <w:rsid w:val="00A0775C"/>
    <w:rsid w:val="00A07E68"/>
    <w:rsid w:val="00A108D5"/>
    <w:rsid w:val="00A1115D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3A6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47CD3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AA6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60BF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90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1F88"/>
    <w:rsid w:val="00AE21C3"/>
    <w:rsid w:val="00AE27AC"/>
    <w:rsid w:val="00AE2FF0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E7C25"/>
    <w:rsid w:val="00AF12BF"/>
    <w:rsid w:val="00AF1C5D"/>
    <w:rsid w:val="00AF36B2"/>
    <w:rsid w:val="00AF3C17"/>
    <w:rsid w:val="00AF42D7"/>
    <w:rsid w:val="00AF4587"/>
    <w:rsid w:val="00AF550A"/>
    <w:rsid w:val="00AF64DA"/>
    <w:rsid w:val="00AF79A4"/>
    <w:rsid w:val="00AF7E36"/>
    <w:rsid w:val="00B006FE"/>
    <w:rsid w:val="00B007CB"/>
    <w:rsid w:val="00B018C4"/>
    <w:rsid w:val="00B01B29"/>
    <w:rsid w:val="00B02AA9"/>
    <w:rsid w:val="00B02BD6"/>
    <w:rsid w:val="00B02FA3"/>
    <w:rsid w:val="00B0486D"/>
    <w:rsid w:val="00B05084"/>
    <w:rsid w:val="00B061E7"/>
    <w:rsid w:val="00B0620F"/>
    <w:rsid w:val="00B06367"/>
    <w:rsid w:val="00B06836"/>
    <w:rsid w:val="00B07BF3"/>
    <w:rsid w:val="00B10FA5"/>
    <w:rsid w:val="00B1130D"/>
    <w:rsid w:val="00B119B4"/>
    <w:rsid w:val="00B139E0"/>
    <w:rsid w:val="00B1412F"/>
    <w:rsid w:val="00B157D6"/>
    <w:rsid w:val="00B157F9"/>
    <w:rsid w:val="00B15C71"/>
    <w:rsid w:val="00B1601C"/>
    <w:rsid w:val="00B161E4"/>
    <w:rsid w:val="00B16841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6CE7"/>
    <w:rsid w:val="00B2701D"/>
    <w:rsid w:val="00B2752A"/>
    <w:rsid w:val="00B2752F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3749F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1337"/>
    <w:rsid w:val="00B725A6"/>
    <w:rsid w:val="00B72AC0"/>
    <w:rsid w:val="00B736C9"/>
    <w:rsid w:val="00B7396D"/>
    <w:rsid w:val="00B739F6"/>
    <w:rsid w:val="00B73EC4"/>
    <w:rsid w:val="00B748E2"/>
    <w:rsid w:val="00B75148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AB8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312"/>
    <w:rsid w:val="00BC4D2E"/>
    <w:rsid w:val="00BC5110"/>
    <w:rsid w:val="00BC6311"/>
    <w:rsid w:val="00BD093B"/>
    <w:rsid w:val="00BD0A19"/>
    <w:rsid w:val="00BD1959"/>
    <w:rsid w:val="00BD3083"/>
    <w:rsid w:val="00BD33A1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1AC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5EF3"/>
    <w:rsid w:val="00C07377"/>
    <w:rsid w:val="00C07ACD"/>
    <w:rsid w:val="00C1000B"/>
    <w:rsid w:val="00C10362"/>
    <w:rsid w:val="00C10478"/>
    <w:rsid w:val="00C11AE1"/>
    <w:rsid w:val="00C12107"/>
    <w:rsid w:val="00C141CE"/>
    <w:rsid w:val="00C1432E"/>
    <w:rsid w:val="00C143B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F6A"/>
    <w:rsid w:val="00C306D9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5242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673E7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064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11B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560"/>
    <w:rsid w:val="00CC0A69"/>
    <w:rsid w:val="00CC111F"/>
    <w:rsid w:val="00CC169B"/>
    <w:rsid w:val="00CC1F18"/>
    <w:rsid w:val="00CC2011"/>
    <w:rsid w:val="00CC2973"/>
    <w:rsid w:val="00CC2A0E"/>
    <w:rsid w:val="00CC3EA0"/>
    <w:rsid w:val="00CC3FC1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2D9"/>
    <w:rsid w:val="00CD1418"/>
    <w:rsid w:val="00CD15BD"/>
    <w:rsid w:val="00CD2384"/>
    <w:rsid w:val="00CD23B0"/>
    <w:rsid w:val="00CD2ED1"/>
    <w:rsid w:val="00CD337B"/>
    <w:rsid w:val="00CD3A1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37E"/>
    <w:rsid w:val="00D05BBF"/>
    <w:rsid w:val="00D05C9A"/>
    <w:rsid w:val="00D06A28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5E5"/>
    <w:rsid w:val="00D259B2"/>
    <w:rsid w:val="00D25DE6"/>
    <w:rsid w:val="00D2610E"/>
    <w:rsid w:val="00D27A4C"/>
    <w:rsid w:val="00D301F3"/>
    <w:rsid w:val="00D30372"/>
    <w:rsid w:val="00D30EF8"/>
    <w:rsid w:val="00D30F9D"/>
    <w:rsid w:val="00D30FEF"/>
    <w:rsid w:val="00D3302C"/>
    <w:rsid w:val="00D34405"/>
    <w:rsid w:val="00D346CF"/>
    <w:rsid w:val="00D3517A"/>
    <w:rsid w:val="00D35F7E"/>
    <w:rsid w:val="00D36E71"/>
    <w:rsid w:val="00D37344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46A08"/>
    <w:rsid w:val="00D47D36"/>
    <w:rsid w:val="00D5109A"/>
    <w:rsid w:val="00D51A14"/>
    <w:rsid w:val="00D5236E"/>
    <w:rsid w:val="00D523E7"/>
    <w:rsid w:val="00D535E6"/>
    <w:rsid w:val="00D546FF"/>
    <w:rsid w:val="00D55AD5"/>
    <w:rsid w:val="00D56188"/>
    <w:rsid w:val="00D5648A"/>
    <w:rsid w:val="00D56C7D"/>
    <w:rsid w:val="00D576CA"/>
    <w:rsid w:val="00D57B04"/>
    <w:rsid w:val="00D60EF3"/>
    <w:rsid w:val="00D61AF5"/>
    <w:rsid w:val="00D621E4"/>
    <w:rsid w:val="00D64EA0"/>
    <w:rsid w:val="00D652B5"/>
    <w:rsid w:val="00D65C7D"/>
    <w:rsid w:val="00D66155"/>
    <w:rsid w:val="00D669C9"/>
    <w:rsid w:val="00D67CBB"/>
    <w:rsid w:val="00D70592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852"/>
    <w:rsid w:val="00D9196D"/>
    <w:rsid w:val="00D91E98"/>
    <w:rsid w:val="00D92291"/>
    <w:rsid w:val="00D92982"/>
    <w:rsid w:val="00D94899"/>
    <w:rsid w:val="00D95257"/>
    <w:rsid w:val="00D9544F"/>
    <w:rsid w:val="00D95472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68A"/>
    <w:rsid w:val="00DB480A"/>
    <w:rsid w:val="00DB5159"/>
    <w:rsid w:val="00DB6A97"/>
    <w:rsid w:val="00DB759C"/>
    <w:rsid w:val="00DB7C7C"/>
    <w:rsid w:val="00DC0DD0"/>
    <w:rsid w:val="00DC0E3E"/>
    <w:rsid w:val="00DC2D36"/>
    <w:rsid w:val="00DC3983"/>
    <w:rsid w:val="00DC4682"/>
    <w:rsid w:val="00DC5287"/>
    <w:rsid w:val="00DC53EF"/>
    <w:rsid w:val="00DC61DC"/>
    <w:rsid w:val="00DC6CDC"/>
    <w:rsid w:val="00DC73D7"/>
    <w:rsid w:val="00DC76B9"/>
    <w:rsid w:val="00DD0CFF"/>
    <w:rsid w:val="00DD142F"/>
    <w:rsid w:val="00DD25F8"/>
    <w:rsid w:val="00DD2869"/>
    <w:rsid w:val="00DD2E9E"/>
    <w:rsid w:val="00DD3674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0BA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34E6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4BB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2FBA"/>
    <w:rsid w:val="00E73092"/>
    <w:rsid w:val="00E746A8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668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8C4"/>
    <w:rsid w:val="00E94F8A"/>
    <w:rsid w:val="00E95421"/>
    <w:rsid w:val="00E957A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9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6B8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1B79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2D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2D15"/>
    <w:rsid w:val="00F15FA5"/>
    <w:rsid w:val="00F16DE7"/>
    <w:rsid w:val="00F16F7E"/>
    <w:rsid w:val="00F17817"/>
    <w:rsid w:val="00F204E2"/>
    <w:rsid w:val="00F209B7"/>
    <w:rsid w:val="00F21AAC"/>
    <w:rsid w:val="00F21B25"/>
    <w:rsid w:val="00F21F4B"/>
    <w:rsid w:val="00F22CB8"/>
    <w:rsid w:val="00F2376F"/>
    <w:rsid w:val="00F243D8"/>
    <w:rsid w:val="00F24A55"/>
    <w:rsid w:val="00F2582C"/>
    <w:rsid w:val="00F2596B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6B97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36C5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8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482"/>
    <w:rsid w:val="00FC78C4"/>
    <w:rsid w:val="00FD07F6"/>
    <w:rsid w:val="00FD1459"/>
    <w:rsid w:val="00FD157A"/>
    <w:rsid w:val="00FD1EC8"/>
    <w:rsid w:val="00FD20BB"/>
    <w:rsid w:val="00FD24EB"/>
    <w:rsid w:val="00FD2989"/>
    <w:rsid w:val="00FD346C"/>
    <w:rsid w:val="00FD47ED"/>
    <w:rsid w:val="00FD49A8"/>
    <w:rsid w:val="00FD59E7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5CD"/>
    <w:rsid w:val="00FE2E2E"/>
    <w:rsid w:val="00FE31B5"/>
    <w:rsid w:val="00FE37C4"/>
    <w:rsid w:val="00FE41A5"/>
    <w:rsid w:val="00FE4C7B"/>
    <w:rsid w:val="00FE4FA7"/>
    <w:rsid w:val="00FE7336"/>
    <w:rsid w:val="00FE787C"/>
    <w:rsid w:val="00FF18D4"/>
    <w:rsid w:val="00FF2A31"/>
    <w:rsid w:val="00FF35EA"/>
    <w:rsid w:val="00FF4317"/>
    <w:rsid w:val="00FF45A5"/>
    <w:rsid w:val="00FF52C9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3D2A3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9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70212">
          <w:marLeft w:val="44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4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7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8136">
          <w:marLeft w:val="44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50973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330">
          <w:marLeft w:val="188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4523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520">
          <w:marLeft w:val="188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3761">
          <w:marLeft w:val="44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6060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2588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0916">
          <w:marLeft w:val="44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7892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052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1649">
          <w:marLeft w:val="44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1124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2783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79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91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9859">
          <w:marLeft w:val="116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6251">
          <w:marLeft w:val="116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6982">
          <w:marLeft w:val="116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759">
          <w:marLeft w:val="116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265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36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29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569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98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4733">
          <w:marLeft w:val="44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1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397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83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81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1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18FCE-7FA1-43CB-9B4A-ED492A16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9</TotalTime>
  <Pages>2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David mazzarese</cp:lastModifiedBy>
  <cp:revision>4</cp:revision>
  <cp:lastPrinted>2017-06-27T15:02:00Z</cp:lastPrinted>
  <dcterms:created xsi:type="dcterms:W3CDTF">2019-12-02T18:40:00Z</dcterms:created>
  <dcterms:modified xsi:type="dcterms:W3CDTF">2019-12-02T21:12:00Z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(3)p7fDvAa1DwC8rQ4QdNW8kGCu5n8zKU32ZfkEl9MzzhVzLNLCBJm0H70KCePZ7kfP++T6Te7u
lB9pzeM+6TSRe575PdqBpqjTY2//mtFc1egRSk4X2vQcQNvoELdQK6Ji8ylukfehdyWdPv/L
iwNLiclDGGETQ9V63OCh6k22NOI7fQFs/crlcUxpExf9iWrqrkXi1pX1AJIg+ywt4xM6oFzO
NdpWOmTAVPaeqgqIun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YTUhfzdq8aFtejlGOMK9gdREFrtfiY7xgOpv9+V/SPbYWvZwfVE+mj
8E70Ol4lrSZPxMOrzY0c5kl5C0EAwUZecRWGl8KwL1UK75Vw/DpbMherkwJ8DsYIN2JwNSjn
G+fnBCi+zNFXYX9n9lHvqBwvaj4Y5Dhd7Vrfqi7/7mg6MaEt4b4wn6+G1Yv4rrbK8BZp4Kw7
CZfUoYQBoGoft2gGhsGyh3zPeEb6dhwTP4N6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C8a/icoNK5opkNas2EaKFOYs6hY+1DYMo0Ek
PCapccU0XjaBaRFNL3J3etYkzGSSRr7F3xC/BDoIHUAxZxr6Onk=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1575321132</vt:lpwstr>
  </property>
</Properties>
</file>